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F0" w:rsidRDefault="005A52F0" w:rsidP="005A52F0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Anexo 4</w:t>
      </w:r>
    </w:p>
    <w:p w:rsidR="005A52F0" w:rsidRDefault="005A52F0" w:rsidP="005A52F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DICTAMEN DE BAJA DOCUMENTAL</w:t>
      </w:r>
    </w:p>
    <w:p w:rsidR="005A52F0" w:rsidRDefault="005A52F0" w:rsidP="005A52F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TRIBUNAL ELECTORAL DE TABASCO</w:t>
      </w: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Conforme al análisis realizado por el Grupo Interdisciplinario del Tribunal Electoral de Tabasco, a los inventarios de baja y las fichas técnicas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prevaloración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documental de la siguiente documentación vencida: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A52F0" w:rsidTr="00DD59A6">
        <w:tc>
          <w:tcPr>
            <w:tcW w:w="2942" w:type="dxa"/>
          </w:tcPr>
          <w:p w:rsidR="005A52F0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Documento para baja</w:t>
            </w:r>
          </w:p>
        </w:tc>
        <w:tc>
          <w:tcPr>
            <w:tcW w:w="2943" w:type="dxa"/>
          </w:tcPr>
          <w:p w:rsidR="005A52F0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Área generadora de la información </w:t>
            </w:r>
          </w:p>
        </w:tc>
        <w:tc>
          <w:tcPr>
            <w:tcW w:w="2943" w:type="dxa"/>
          </w:tcPr>
          <w:p w:rsidR="005A52F0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Área de resguardo</w:t>
            </w:r>
          </w:p>
        </w:tc>
      </w:tr>
      <w:tr w:rsidR="005A52F0" w:rsidTr="00DD59A6">
        <w:tc>
          <w:tcPr>
            <w:tcW w:w="2942" w:type="dxa"/>
          </w:tcPr>
          <w:p w:rsidR="005A52F0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5A52F0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5A52F0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2F0" w:rsidTr="00DD59A6">
        <w:tc>
          <w:tcPr>
            <w:tcW w:w="2942" w:type="dxa"/>
          </w:tcPr>
          <w:p w:rsidR="005A52F0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5A52F0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5A52F0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52F0" w:rsidRPr="00FE2B7D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2F0" w:rsidRPr="00FE2B7D" w:rsidRDefault="005A52F0" w:rsidP="005A52F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------------------------------------------CONSIDERANDO-------------------------------------------</w:t>
      </w: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PRIMERO.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de acuerdo con lo establecido en el Catálogo de Disposición Documental validado y aprobado por el Grupo Interdisciplinario del Tribunal Electoral de Tabasco en su ___ sesión ordinaria de fecha ____ de 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2022, las series documentales en formato original y copia cuya baja se promueven al haber cumplido con los plazo de conservación que señala el instrumento archivístico y que no poseen valores primarios ni secundarios. </w:t>
      </w: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SEGUNDO.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las series documentales en formatos original y copia propuestas para baja documental por cada una de las áreas generadoras de la información, adscritas a su Unidad correspondiente, dependientes del Tribunal Electoral de Tabasco, han sido analizadas y no merecen ser incorporadas a una Unidad de Archivo Histórico, conforme a lo descrito en los inventarios de baja y fichas técnicas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prevaloración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documental, ni ameritan ser reproducidas en otro tipo de soporte antes de efectuar la baja documental, a excepción de las series documentales ________________________________, mismas que deberán ser digitalizadas en su totalidad y los archivos digitales resultantes de lo anterior deberán ser almacenados en una carpeta compartida para uso de la unidad administrativa o jurisdiccional correspondiente, asimismo deberá de informarse de manera oficial al área correspondiente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 la conclusión de la digitalización y esta a su vez deberá de dar el visto bueno para proceder a la eliminación.</w:t>
      </w: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TERCERO.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Que las series documentales en formato original y copia propuestos para baja por cada una de las áreas generadoras, no contienen objetos o valores de conservación semejante a los descritos en la legislación para la protección del patrimonio documental del Estado o para la administración de los bienes del dominio público.</w:t>
      </w: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CUARTO.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es responsabilidad exclusiva de cada una de las áreas generadoras de la información adscritas a su Unidad Administrativa o Jurisdiccional correspondiente, la documentación detallada en los inventarios de baja y fichas técnicas de valoración documental y no les exime de los efectos que pudieran derivarse de esta acción conforme al marco jurídico aplicable. </w:t>
      </w: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 tiene a bien, conforme a la facultad que le es conferida al Archivo de concentración en el artículo 31 fracción VI y VIII de la Ley General de Archivos, publicada en el Diario Oficial de la Federación el 15 de junio de 2018, así como a la Coordinación de Archivos en el artículo 27 y 28 de la  ley general citada, emitir lo siguiente:</w:t>
      </w: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</w:t>
      </w:r>
      <w:r w:rsidRPr="00446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DICTAMEN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</w:t>
      </w:r>
    </w:p>
    <w:p w:rsidR="005A52F0" w:rsidRPr="005A5599" w:rsidRDefault="005A52F0" w:rsidP="005A52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A5599">
        <w:rPr>
          <w:rFonts w:ascii="Times New Roman" w:hAnsi="Times New Roman" w:cs="Times New Roman"/>
          <w:color w:val="000000" w:themeColor="text1"/>
          <w:sz w:val="24"/>
          <w:szCs w:val="24"/>
        </w:rPr>
        <w:t>e determina que procede la baja de los documentos de archivo vencido de cada una de las áreas generadoras, integrados por las series documentales con valores administrativos, legales, fiscales o contables (según corresponda) en formato original y las copias existentes, (poner excepción en caso de existir alguna).</w:t>
      </w:r>
    </w:p>
    <w:p w:rsidR="005A52F0" w:rsidRPr="005A5599" w:rsidRDefault="005A52F0" w:rsidP="005A52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A5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Grupo Interdisciplinario del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Tribunal Electoral d</w:t>
      </w:r>
      <w:r w:rsidRPr="005A5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Tabasco gira la instrucción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la Coordinación de A</w:t>
      </w:r>
      <w:r w:rsidRPr="005A5599">
        <w:rPr>
          <w:rFonts w:ascii="Times New Roman" w:hAnsi="Times New Roman" w:cs="Times New Roman"/>
          <w:color w:val="000000" w:themeColor="text1"/>
          <w:sz w:val="24"/>
          <w:szCs w:val="24"/>
        </w:rPr>
        <w:t>rchivo para que sea quien opere la baja e intervenga en la afectación, disposición final y destrucción de los bienes muebles mencionados en el presente dictamen de baja documental.</w:t>
      </w:r>
    </w:p>
    <w:p w:rsidR="005A52F0" w:rsidRPr="005A5599" w:rsidRDefault="005A52F0" w:rsidP="005A52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A5599">
        <w:rPr>
          <w:rFonts w:ascii="Times New Roman" w:hAnsi="Times New Roman" w:cs="Times New Roman"/>
          <w:color w:val="000000" w:themeColor="text1"/>
          <w:sz w:val="24"/>
          <w:szCs w:val="24"/>
        </w:rPr>
        <w:t>e apercibe a los involucrados en la validación de la documentación para baja documental y la operación de la destrucción de los documentos para que, en caso de conducirse con falsedad en el ejercicio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las f</w:t>
      </w:r>
      <w:r w:rsidRPr="005A5599">
        <w:rPr>
          <w:rFonts w:ascii="Times New Roman" w:hAnsi="Times New Roman" w:cs="Times New Roman"/>
          <w:color w:val="000000" w:themeColor="text1"/>
          <w:sz w:val="24"/>
          <w:szCs w:val="24"/>
        </w:rPr>
        <w:t>unciones que se desprendan del presente dictamen, advierten que se constituirá una infracción con fundamento en el artículo 116, fracción 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artículo 121 fracción I</w:t>
      </w:r>
      <w:r w:rsidRPr="005A5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ley general de archivos.</w:t>
      </w: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 presente dictamen queda autorizado por los miembros del grupo interdisciplinario del Tribunal Electoral de Tabasco, firmando al calce y al final de conformidad---------------------</w:t>
      </w: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3076"/>
        <w:gridCol w:w="3698"/>
      </w:tblGrid>
      <w:tr w:rsidR="005A52F0" w:rsidRPr="005A5599" w:rsidTr="00DD59A6">
        <w:tc>
          <w:tcPr>
            <w:tcW w:w="8828" w:type="dxa"/>
            <w:gridSpan w:val="3"/>
          </w:tcPr>
          <w:p w:rsidR="005A52F0" w:rsidRPr="005A5599" w:rsidRDefault="005A52F0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5599">
              <w:rPr>
                <w:rFonts w:ascii="Times New Roman" w:hAnsi="Times New Roman" w:cs="Times New Roman"/>
                <w:b/>
                <w:color w:val="000000" w:themeColor="text1"/>
              </w:rPr>
              <w:t>MIEMBROS DEL GRUPO INTERDISCIPLINARIO</w:t>
            </w:r>
          </w:p>
        </w:tc>
      </w:tr>
      <w:tr w:rsidR="005A52F0" w:rsidRPr="005A5599" w:rsidTr="00DD59A6">
        <w:tc>
          <w:tcPr>
            <w:tcW w:w="2054" w:type="dxa"/>
          </w:tcPr>
          <w:p w:rsidR="005A52F0" w:rsidRPr="005A5599" w:rsidRDefault="005A52F0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5599">
              <w:rPr>
                <w:rFonts w:ascii="Times New Roman" w:hAnsi="Times New Roman" w:cs="Times New Roman"/>
                <w:b/>
                <w:color w:val="000000" w:themeColor="text1"/>
              </w:rPr>
              <w:t>NOMBRE</w:t>
            </w:r>
          </w:p>
        </w:tc>
        <w:tc>
          <w:tcPr>
            <w:tcW w:w="3076" w:type="dxa"/>
          </w:tcPr>
          <w:p w:rsidR="005A52F0" w:rsidRPr="005A5599" w:rsidRDefault="005A52F0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CARGO</w:t>
            </w:r>
          </w:p>
        </w:tc>
        <w:tc>
          <w:tcPr>
            <w:tcW w:w="3698" w:type="dxa"/>
          </w:tcPr>
          <w:p w:rsidR="005A52F0" w:rsidRPr="005A5599" w:rsidRDefault="005A52F0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FIRMA</w:t>
            </w:r>
          </w:p>
        </w:tc>
      </w:tr>
      <w:tr w:rsidR="005A52F0" w:rsidRPr="005A5599" w:rsidTr="00DD59A6">
        <w:tc>
          <w:tcPr>
            <w:tcW w:w="2054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6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2F0" w:rsidRPr="005A5599" w:rsidTr="00DD59A6">
        <w:tc>
          <w:tcPr>
            <w:tcW w:w="2054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6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2F0" w:rsidRPr="005A5599" w:rsidTr="00DD59A6">
        <w:tc>
          <w:tcPr>
            <w:tcW w:w="2054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6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2F0" w:rsidRPr="005A5599" w:rsidTr="00DD59A6">
        <w:tc>
          <w:tcPr>
            <w:tcW w:w="2054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6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2F0" w:rsidRPr="005A5599" w:rsidTr="00DD59A6">
        <w:tc>
          <w:tcPr>
            <w:tcW w:w="2054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6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2F0" w:rsidRPr="005A5599" w:rsidTr="00DD59A6">
        <w:tc>
          <w:tcPr>
            <w:tcW w:w="2054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6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5A52F0" w:rsidRPr="005A5599" w:rsidRDefault="005A52F0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2F0" w:rsidRPr="005A5599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A559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DICTAMEN DE BAJA DOCUMENTAL NO. __/2022 QUE SE DESPRENDE DEL ACTA DE LA __ SESIÓN ORDINARIA DEL GRUPO INTERDISCIPLINARIO DEL TRIBUNAL ELECTORAL DE TABASCO, A LOS ____ DÍAS DEL MES DE _____ </w:t>
      </w:r>
      <w:proofErr w:type="spellStart"/>
      <w:r w:rsidRPr="005A5599">
        <w:rPr>
          <w:rFonts w:ascii="Times New Roman" w:hAnsi="Times New Roman" w:cs="Times New Roman"/>
          <w:color w:val="000000" w:themeColor="text1"/>
          <w:sz w:val="16"/>
          <w:szCs w:val="16"/>
        </w:rPr>
        <w:t>DE</w:t>
      </w:r>
      <w:proofErr w:type="spellEnd"/>
      <w:r w:rsidRPr="005A559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2022. </w:t>
      </w:r>
    </w:p>
    <w:p w:rsidR="005A52F0" w:rsidRDefault="005A52F0" w:rsidP="005A52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72DCA" w:rsidRDefault="00B3460F">
      <w:bookmarkStart w:id="0" w:name="_GoBack"/>
      <w:bookmarkEnd w:id="0"/>
    </w:p>
    <w:sectPr w:rsidR="00B72D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0F" w:rsidRDefault="00B3460F" w:rsidP="008044A1">
      <w:pPr>
        <w:spacing w:after="0" w:line="240" w:lineRule="auto"/>
      </w:pPr>
      <w:r>
        <w:separator/>
      </w:r>
    </w:p>
  </w:endnote>
  <w:endnote w:type="continuationSeparator" w:id="0">
    <w:p w:rsidR="00B3460F" w:rsidRDefault="00B3460F" w:rsidP="0080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0F" w:rsidRDefault="00B3460F" w:rsidP="008044A1">
      <w:pPr>
        <w:spacing w:after="0" w:line="240" w:lineRule="auto"/>
      </w:pPr>
      <w:r>
        <w:separator/>
      </w:r>
    </w:p>
  </w:footnote>
  <w:footnote w:type="continuationSeparator" w:id="0">
    <w:p w:rsidR="00B3460F" w:rsidRDefault="00B3460F" w:rsidP="0080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A1" w:rsidRPr="00C96059" w:rsidRDefault="008044A1" w:rsidP="008044A1">
    <w:pPr>
      <w:pStyle w:val="Encabezado"/>
      <w:jc w:val="center"/>
      <w:rPr>
        <w:color w:val="171717" w:themeColor="background2" w:themeShade="1A"/>
      </w:rPr>
    </w:pPr>
    <w:r>
      <w:rPr>
        <w:noProof/>
        <w:color w:val="E7E6E6" w:themeColor="background2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E8D22A" wp14:editId="3CD382E1">
              <wp:simplePos x="0" y="0"/>
              <wp:positionH relativeFrom="margin">
                <wp:align>left</wp:align>
              </wp:positionH>
              <wp:positionV relativeFrom="paragraph">
                <wp:posOffset>-293096</wp:posOffset>
              </wp:positionV>
              <wp:extent cx="4312920" cy="609600"/>
              <wp:effectExtent l="0" t="0" r="0" b="0"/>
              <wp:wrapTight wrapText="bothSides">
                <wp:wrapPolygon edited="0">
                  <wp:start x="286" y="0"/>
                  <wp:lineTo x="286" y="20925"/>
                  <wp:lineTo x="21276" y="20925"/>
                  <wp:lineTo x="21276" y="0"/>
                  <wp:lineTo x="286" y="0"/>
                </wp:wrapPolygon>
              </wp:wrapTight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44A1" w:rsidRPr="00551010" w:rsidRDefault="008044A1" w:rsidP="008044A1">
                          <w:r w:rsidRPr="00551010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GUÍA DE OPERACIÓN DEL SISTEMA INSTITUCIONAL DE ARCHIVOS DEL TRIBUNAL ELECTORAL DE TABASCO.</w:t>
                          </w:r>
                        </w:p>
                        <w:p w:rsidR="008044A1" w:rsidRPr="00551010" w:rsidRDefault="008044A1" w:rsidP="008044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E8D22A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left:0;text-align:left;margin-left:0;margin-top:-23.1pt;width:339.6pt;height:48pt;z-index:-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zegwIAAGsFAAAOAAAAZHJzL2Uyb0RvYy54bWysVE1v2zAMvQ/YfxB0X+ykabYacYosRYcB&#10;RVusHXpWZKkxJomapMTOfv0o2U6CbJcOu8i0+Ejx8Wt+3WpFdsL5GkxJx6OcEmE4VLV5Len359sP&#10;nyjxgZmKKTCipHvh6fXi/bt5YwsxgQ2oSjiCTowvGlvSTQi2yDLPN0IzPwIrDColOM0C/rrXrHKs&#10;Qe9aZZM8n2UNuMo64MJ7vL3plHSR/EspeHiQ0otAVEkxtpBOl851PLPFnBWvjtlNzfsw2D9EoVlt&#10;8NGDqxsWGNm6+g9XuuYOPMgw4qAzkLLmInFANuP8jM3ThlmRuGByvD2kyf8/t/x+9+hIXZV0MqHE&#10;MI01Wm1Z5YBUggTRBiCowTQ11heIfrKID+1naLHcw73Hy8i+lU7HL/IiqMeE7w9JRleE4+X0Yjy5&#10;mqCKo26WX83yVIXsaG2dD18EaBKFkjosYsot2935gJEgdIDExwzc1kqlQipDGnR6cZkng4MGLZSJ&#10;WJFaoncTGXWRJynslYgYZb4JiSlJBOJFakaxUo7sGLYR41yYkLgnv4iOKIlBvMWwxx+jeotxx2N4&#10;GUw4GOvagEvsz8Kufgwhyw6PiTzhHcXQrtu+0muo9lhoB93EeMtva6zGHfPhkTkcESwgjn14wEMq&#10;wKxDL1GyAffrb/cRj52LWkoaHLmS+p9b5gQl6qvBnr4aT6dxRtPP9PJjbBJ3qlmfasxWrwDLMcYF&#10;Y3kSIz6oQZQO9Atuh2V8FVXMcHy7pGEQV6FbBLhduFguEwin0rJwZ54sj65jdWKvPbcvzNm+IeNU&#10;3MMwnKw468sOGy0NLLcBZJ2aNia4y2qfeJzo1Mv99okr4/Q/oY47cvEbAAD//wMAUEsDBBQABgAI&#10;AAAAIQCmYRXX4AAAAAcBAAAPAAAAZHJzL2Rvd25yZXYueG1sTI/BTsMwEETvSPyDtUjcWqdRCWnI&#10;pqoiVUgIDi29cNvEbhI1tkPstoGvZznBbUczmnmbryfTi4sefecswmIegdC2dqqzDcLhfTtLQfhA&#10;VlHvrEb40h7Wxe1NTplyV7vTl31oBJdYnxFCG8KQSenrVhvyczdoy97RjYYCy7GRaqQrl5texlGU&#10;SEOd5YWWBl22uj7tzwbhpdy+0a6KTfrdl8+vx83wefh4QLy/mzZPIIKewl8YfvEZHQpmqtzZKi96&#10;BH4kIMyWSQyC7eRxxUeFsFylIItc/ucvfgAAAP//AwBQSwECLQAUAAYACAAAACEAtoM4kv4AAADh&#10;AQAAEwAAAAAAAAAAAAAAAAAAAAAAW0NvbnRlbnRfVHlwZXNdLnhtbFBLAQItABQABgAIAAAAIQA4&#10;/SH/1gAAAJQBAAALAAAAAAAAAAAAAAAAAC8BAABfcmVscy8ucmVsc1BLAQItABQABgAIAAAAIQBW&#10;jEzegwIAAGsFAAAOAAAAAAAAAAAAAAAAAC4CAABkcnMvZTJvRG9jLnhtbFBLAQItABQABgAIAAAA&#10;IQCmYRXX4AAAAAcBAAAPAAAAAAAAAAAAAAAAAN0EAABkcnMvZG93bnJldi54bWxQSwUGAAAAAAQA&#10;BADzAAAA6gUAAAAA&#10;" filled="f" stroked="f" strokeweight=".5pt">
              <v:textbox>
                <w:txbxContent>
                  <w:p w:rsidR="008044A1" w:rsidRPr="00551010" w:rsidRDefault="008044A1" w:rsidP="008044A1">
                    <w:r w:rsidRPr="00551010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GUÍA DE OPERACIÓN DEL SISTEMA INSTITUCIONAL DE ARCHIVOS DEL TRIBUNAL ELECTORAL DE TABASCO.</w:t>
                    </w:r>
                  </w:p>
                  <w:p w:rsidR="008044A1" w:rsidRPr="00551010" w:rsidRDefault="008044A1" w:rsidP="008044A1"/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171717" w:themeColor="background2" w:themeShade="1A"/>
        <w:lang w:eastAsia="es-MX"/>
      </w:rPr>
      <w:drawing>
        <wp:anchor distT="0" distB="0" distL="114300" distR="114300" simplePos="0" relativeHeight="251662336" behindDoc="1" locked="0" layoutInCell="1" allowOverlap="1" wp14:anchorId="1950C19D" wp14:editId="4A206FA3">
          <wp:simplePos x="0" y="0"/>
          <wp:positionH relativeFrom="leftMargin">
            <wp:align>right</wp:align>
          </wp:positionH>
          <wp:positionV relativeFrom="margin">
            <wp:posOffset>-842576</wp:posOffset>
          </wp:positionV>
          <wp:extent cx="551815" cy="571500"/>
          <wp:effectExtent l="0" t="0" r="635" b="0"/>
          <wp:wrapTight wrapText="bothSides">
            <wp:wrapPolygon edited="0">
              <wp:start x="1491" y="0"/>
              <wp:lineTo x="0" y="2160"/>
              <wp:lineTo x="0" y="15840"/>
              <wp:lineTo x="746" y="20160"/>
              <wp:lineTo x="1491" y="20880"/>
              <wp:lineTo x="19388" y="20880"/>
              <wp:lineTo x="20133" y="20160"/>
              <wp:lineTo x="20879" y="15840"/>
              <wp:lineTo x="20879" y="2160"/>
              <wp:lineTo x="19388" y="0"/>
              <wp:lineTo x="1491" y="0"/>
            </wp:wrapPolygon>
          </wp:wrapTight>
          <wp:docPr id="300" name="Imagen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7A49E" wp14:editId="78232A85">
              <wp:simplePos x="0" y="0"/>
              <wp:positionH relativeFrom="page">
                <wp:align>left</wp:align>
              </wp:positionH>
              <wp:positionV relativeFrom="paragraph">
                <wp:posOffset>246289</wp:posOffset>
              </wp:positionV>
              <wp:extent cx="7767320" cy="45719"/>
              <wp:effectExtent l="0" t="0" r="24130" b="1206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81149" id="Rectángulo 13" o:spid="_x0000_s1026" style="position:absolute;margin-left:0;margin-top:19.4pt;width:611.6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1IngIAAP8FAAAOAAAAZHJzL2Uyb0RvYy54bWy0VNtuGyEQfa/Uf0C8N+t1Lm6srCMrUapK&#10;aWIlqfJMWPAiAUMBe+3+Tb+lP9aBXW/cNGqlqvXDGpiZM8xh5pydb4wma+GDAlvR8mBEibAcamWX&#10;Ff38cPXuPSUhMlszDVZUdCsCPZ+9fXPWuqkYQwO6Fp4giA3T1lW0idFNiyLwRhgWDsAJi0YJ3rCI&#10;W78sas9aRDe6GI9GJ0ULvnYeuAgBTy87I51lfCkFj7dSBhGJrijeLeavz9+n9C1mZ2y69Mw1ivfX&#10;YH9xC8OUxaQD1CWLjKy8+gXKKO4hgIwHHEwBUioucg1YTTl6Uc19w5zItSA5wQ00hX8Hy2/WC09U&#10;jW93SIllBt/oDln7/s0uVxoIniJFrQtT9Lx3C9/vAi5TvRvpTfrHSsgm07odaBWbSDgeTiYnk8Mx&#10;ss/RdnQ8KU8TZvEc7HyIHwQYkhYV9Zg/k8nW1yF2rjuXlCuAVvWV0jpvUqeIC+3JmuEbM86FjSc5&#10;XK/MJ6i78+MR/vq0ublSSL7ET2ja/tcEWHPKUCQ+OwbzKm61SHm1vRMSHwM5G+cKhpvuF1d2pobV&#10;4k+1ZcCELJGtAbsHeI24sqeo90+hIk/REDz63cW6txoicmawcQg2yoJ/DUDHIXPnvyOpoyax9AT1&#10;FlvVQzfDwfErhe1yzUJcMI9Diw2GQhRv8SM1tBWFfkVJA/7ra+fJH2cJrZS0KAIVDV9WzAtK9EeL&#10;U3ZaHh0l1cgb7NzUxH7f8rRvsStzAdiDJUqe43mZ/KPeLaUH84h6NU9Z0cQsx9wV5dHvNhexEydU&#10;PC7m8+yGSuFYvLb3jifwxGoah4fNI/Oun5mIw3YDO8Fg0xej0/mmSAvzVQSp8lw989rzjSqTh6JX&#10;xCRj+/vs9azbsx8AAAD//wMAUEsDBBQABgAIAAAAIQD8/fHZ3AAAAAcBAAAPAAAAZHJzL2Rvd25y&#10;ZXYueG1sTM/BTsMwDAbgOxLvEBmJC2IJ2TR1pe4ESDshhBhs57QxbUXjVE22lbcnO7Gj9Vu/Pxfr&#10;yfXiSGPoPCM8zBQI4trbjhuEr8/NfQYiRMPW9J4J4ZcCrMvrq8Lk1p/4g47b2IhUwiE3CG2MQy5l&#10;qFtyJsz8QJyybz86E9M4NtKO5pTKXS+1UkvpTMfpQmsGemmp/tkeHMIzZfvNgqtXerM7o+s7975S&#10;e8Tbm+npEUSkKf4vw5mf6FAmU+UPbIPoEdIjEWGeJf851XquQVQIi6UCWRby0l/+AQAA//8DAFBL&#10;AQItABQABgAIAAAAIQC2gziS/gAAAOEBAAATAAAAAAAAAAAAAAAAAAAAAABbQ29udGVudF9UeXBl&#10;c10ueG1sUEsBAi0AFAAGAAgAAAAhADj9If/WAAAAlAEAAAsAAAAAAAAAAAAAAAAALwEAAF9yZWxz&#10;Ly5yZWxzUEsBAi0AFAAGAAgAAAAhAGpenUieAgAA/wUAAA4AAAAAAAAAAAAAAAAALgIAAGRycy9l&#10;Mm9Eb2MueG1sUEsBAi0AFAAGAAgAAAAhAPz98dncAAAABwEAAA8AAAAAAAAAAAAAAAAA+AQAAGRy&#10;cy9kb3ducmV2LnhtbFBLBQYAAAAABAAEAPMAAAABBgAAAAA=&#10;" fillcolor="#375623 [1609]" strokecolor="#375623 [1609]" strokeweight="1pt">
              <w10:wrap anchorx="page"/>
            </v:rect>
          </w:pict>
        </mc:Fallback>
      </mc:AlternateContent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2A72" wp14:editId="78205A9C">
              <wp:simplePos x="0" y="0"/>
              <wp:positionH relativeFrom="page">
                <wp:align>left</wp:align>
              </wp:positionH>
              <wp:positionV relativeFrom="paragraph">
                <wp:posOffset>278946</wp:posOffset>
              </wp:positionV>
              <wp:extent cx="7767320" cy="45719"/>
              <wp:effectExtent l="0" t="0" r="24130" b="12065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91F54" id="Rectángulo 21" o:spid="_x0000_s1026" style="position:absolute;margin-left:0;margin-top:21.95pt;width:611.6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mQogIAAP8FAAAOAAAAZHJzL2Uyb0RvYy54bWy0VMFu2zAMvQ/YPwi6r3aytlmDOkXQosOA&#10;rg3aDj2rshQLkERNUuJkf7Nv2Y+Nkh0364Idhu1iiyL5SD6RPL/YGE3WwgcFtqKjo5ISYTnUyi4r&#10;+uXx+t0HSkJktmYarKjoVgR6MXv75rx1UzGGBnQtPEEQG6atq2gTo5sWReCNMCwcgRMWlRK8YRFF&#10;vyxqz1pEN7oYl+Vp0YKvnQcuQsDbq05JZxlfSsHjnZRBRKIrirnF/PX5+5y+xeycTZeeuUbxPg32&#10;F1kYpiwGHaCuWGRk5dVvUEZxDwFkPOJgCpBScZFrwGpG5atqHhrmRK4FyQluoCn8O1h+u154ouqK&#10;jkeUWGbwje6RtR/f7XKlgeAtUtS6MEXLB7fwvRTwmOrdSG/SHyshm0zrdqBVbCLheDmZnE7ej5F9&#10;jrrjk8noLGEWL87Oh/hRgCHpUFGP8TOZbH0TYme6M0mxAmhVXyuts5A6RVxqT9YM35hxLmwcZ3e9&#10;Mp+h7u4nJ2WZXxvD5uZKLjmJX9C0/a8BMHiKUCQ+OwbzKW61SHG1vRcSHwM56yoYMt0vbpSLCw2r&#10;RXedSjtcWwZMyBLZGrB7gEPE5dfGLHv75CryFA3OZRf9T86DR44MNg7ORlnwhwB0HCJ39juSOmoS&#10;S89Qb7FVPXQzHBy/VtguNyzEBfM4tNhguIjiHX6khrai0J8oacB/O3Sf7HGWUEtJi0ugouHrinlB&#10;if5kccrORsfHaWtkATs3NbHf1zzva+zKXAL2IA4SZpePyT7q3VF6ME+4r+YpKqqY5Ri7ojz6nXAZ&#10;u+WEG4+L+Tyb4aZwLN7YB8cTeGI1jcPj5ol5189MxGG7hd3CYNNXo9PZJk8L81UEqfJcvfDa841b&#10;Jg9FvxHTGtuXs9XL3p79BAAA//8DAFBLAwQUAAYACAAAACEAKGYdYNsAAAAHAQAADwAAAGRycy9k&#10;b3ducmV2LnhtbEyPwU7DMBBE70j8g7VI3KiTtCAasqkQCIkroRIc3XhxIuJ1FG/blK/HPcFxNKOZ&#10;N9Vm9oM60BT7wAj5IgNF3Abbs0PYvr/c3IOKYtiaITAhnCjCpr68qExpw5Hf6NCIU6mEY2kQOpGx&#10;1Dq2HXkTF2EkTt5XmLyRJCen7WSOqdwPusiyO+1Nz2mhMyM9ddR+N3uPMNKn+3l1wTVzPH3w83ol&#10;Ww6I11fz4wMooVn+wnDGT+hQJ6Zd2LONakBIRwRhtVyDOrtFsSxA7RBu8xx0Xen//PUvAAAA//8D&#10;AFBLAQItABQABgAIAAAAIQC2gziS/gAAAOEBAAATAAAAAAAAAAAAAAAAAAAAAABbQ29udGVudF9U&#10;eXBlc10ueG1sUEsBAi0AFAAGAAgAAAAhADj9If/WAAAAlAEAAAsAAAAAAAAAAAAAAAAALwEAAF9y&#10;ZWxzLy5yZWxzUEsBAi0AFAAGAAgAAAAhAKUSmZCiAgAA/wUAAA4AAAAAAAAAAAAAAAAALgIAAGRy&#10;cy9lMm9Eb2MueG1sUEsBAi0AFAAGAAgAAAAhAChmHWDbAAAABwEAAA8AAAAAAAAAAAAAAAAA/AQA&#10;AGRycy9kb3ducmV2LnhtbFBLBQYAAAAABAAEAPMAAAAEBgAAAAA=&#10;" fillcolor="#c45911 [2405]" strokecolor="#c45911 [2405]" strokeweight="1pt">
              <w10:wrap anchorx="page"/>
            </v:rect>
          </w:pict>
        </mc:Fallback>
      </mc:AlternateContent>
    </w:r>
  </w:p>
  <w:p w:rsidR="008044A1" w:rsidRDefault="008044A1" w:rsidP="008044A1">
    <w:pPr>
      <w:pStyle w:val="Encabezado"/>
    </w:pPr>
  </w:p>
  <w:p w:rsidR="008044A1" w:rsidRDefault="008044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F3A4C"/>
    <w:multiLevelType w:val="hybridMultilevel"/>
    <w:tmpl w:val="7A080A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A1"/>
    <w:rsid w:val="00215072"/>
    <w:rsid w:val="005A52F0"/>
    <w:rsid w:val="006D6A34"/>
    <w:rsid w:val="007041F5"/>
    <w:rsid w:val="008044A1"/>
    <w:rsid w:val="00B3460F"/>
    <w:rsid w:val="00E8711D"/>
    <w:rsid w:val="00F02586"/>
    <w:rsid w:val="00F53B04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3083-F26D-4F33-9768-2C00BA2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4A1"/>
  </w:style>
  <w:style w:type="paragraph" w:styleId="Piedepgina">
    <w:name w:val="footer"/>
    <w:basedOn w:val="Normal"/>
    <w:link w:val="Piedepgina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4A1"/>
  </w:style>
  <w:style w:type="paragraph" w:styleId="Prrafodelista">
    <w:name w:val="List Paragraph"/>
    <w:basedOn w:val="Normal"/>
    <w:uiPriority w:val="34"/>
    <w:qFormat/>
    <w:rsid w:val="005A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PcGabriela</dc:creator>
  <cp:keywords/>
  <dc:description/>
  <cp:lastModifiedBy>PcGabriela</cp:lastModifiedBy>
  <cp:revision>4</cp:revision>
  <dcterms:created xsi:type="dcterms:W3CDTF">2022-05-25T17:35:00Z</dcterms:created>
  <dcterms:modified xsi:type="dcterms:W3CDTF">2022-05-25T17:46:00Z</dcterms:modified>
</cp:coreProperties>
</file>